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6E" w:rsidRPr="00727620" w:rsidRDefault="00D94B6E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рекламной акции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856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333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 на анализы </w:t>
      </w:r>
      <w:r w:rsidR="00144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856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льготной категории граждан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»: </w:t>
      </w:r>
      <w:r w:rsidR="00E22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фиксированная скидка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</w:t>
      </w:r>
      <w:r w:rsidR="00E22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 </w:t>
      </w: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прохождении медицинских услуг на льготных условиях».</w:t>
      </w:r>
    </w:p>
    <w:p w:rsidR="00D94B6E" w:rsidRPr="009811CF" w:rsidRDefault="00D94B6E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5D2" w:rsidRPr="00727620" w:rsidRDefault="00D94B6E" w:rsidP="006935D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 рекламной</w:t>
      </w:r>
      <w:proofErr w:type="gramEnd"/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акции: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569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447E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анализы </w:t>
      </w:r>
      <w:r w:rsidR="00144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8569C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льготной категории граждан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направленное</w:t>
      </w:r>
      <w:r w:rsidR="006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прохождение медицинских услуг (</w:t>
      </w:r>
      <w:r w:rsidR="00E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</w:t>
      </w:r>
      <w:r w:rsidR="006B079E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диагностика)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льготных условиях» далее («Акция»).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9A" w:rsidRPr="00727620" w:rsidRDefault="00D94B6E" w:rsidP="00CA409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Информация об Организаторе Акции</w:t>
      </w:r>
    </w:p>
    <w:p w:rsidR="00CA409A" w:rsidRPr="00727620" w:rsidRDefault="00D94B6E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ОГРАНИЧЕННОЙ ОТВЕТСВЕННОСТЬЮ «</w:t>
      </w:r>
      <w:r w:rsidR="00EB3D99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ЕЛЕНА МЕДИКАЛ СОЛЮШИНС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 (далее – «</w:t>
      </w:r>
      <w:r w:rsidR="00EB3D99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ЕЛЕНА МЕДИКАЛ СОЛЮШИНС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Ю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ридический адрес: 626</w:t>
      </w:r>
      <w:r w:rsidR="00EB3D99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157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, Тюменская область, город </w:t>
      </w:r>
      <w:r w:rsidR="00EB3D99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Тобольск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, </w:t>
      </w:r>
      <w:r w:rsidR="00EB3D99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мкр.7, д. 46, помещ.1А.</w:t>
      </w:r>
      <w:r w:rsidR="00EB3D99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ОГРН: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1</w:t>
      </w:r>
      <w:r w:rsidR="00EB3D99">
        <w:rPr>
          <w:rFonts w:ascii="Times New Roman" w:hAnsi="Times New Roman" w:cs="Times New Roman"/>
          <w:color w:val="111827"/>
          <w:sz w:val="24"/>
          <w:szCs w:val="24"/>
        </w:rPr>
        <w:t>217200014470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</w:t>
      </w:r>
      <w:r w:rsidR="00EB3D99">
        <w:rPr>
          <w:rFonts w:ascii="Times New Roman" w:hAnsi="Times New Roman" w:cs="Times New Roman"/>
          <w:color w:val="111827"/>
          <w:sz w:val="24"/>
          <w:szCs w:val="24"/>
        </w:rPr>
        <w:t>7203525535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</w:t>
      </w:r>
      <w:r w:rsidR="00EB3D99">
        <w:rPr>
          <w:rFonts w:ascii="Times New Roman" w:hAnsi="Times New Roman" w:cs="Times New Roman"/>
          <w:color w:val="111827"/>
          <w:sz w:val="24"/>
          <w:szCs w:val="24"/>
        </w:rPr>
        <w:t>722401001</w:t>
      </w:r>
    </w:p>
    <w:p w:rsidR="007E6245" w:rsidRPr="00727620" w:rsidRDefault="007E6245" w:rsidP="007E6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0B" w:rsidRPr="00727620" w:rsidRDefault="00D94B6E" w:rsidP="0015390B">
      <w:pPr>
        <w:pStyle w:val="a5"/>
        <w:numPr>
          <w:ilvl w:val="0"/>
          <w:numId w:val="4"/>
        </w:num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Территория проведения Акции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Акция проводится на территории</w:t>
      </w:r>
      <w:r w:rsidR="0015390B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:</w:t>
      </w:r>
    </w:p>
    <w:p w:rsidR="0015390B" w:rsidRPr="00727620" w:rsidRDefault="0015390B" w:rsidP="00EB3D99">
      <w:pPr>
        <w:pStyle w:val="a5"/>
        <w:spacing w:before="300" w:after="60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</w:t>
      </w:r>
      <w:r w:rsidR="00E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Тобольск, </w:t>
      </w:r>
      <w:r w:rsidR="00EB3D99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мкр.7, д. 46.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0B" w:rsidRPr="00727620" w:rsidRDefault="0015390B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ab/>
        <w:t>на основании лицензий №:</w:t>
      </w:r>
    </w:p>
    <w:p w:rsidR="00B00C8F" w:rsidRPr="00EB3D99" w:rsidRDefault="00D94B6E" w:rsidP="00EB3D99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="00B00C8F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ab/>
      </w:r>
      <w:r w:rsidR="00EB3D99" w:rsidRPr="00EB3D99">
        <w:rPr>
          <w:rFonts w:ascii="Times New Roman" w:hAnsi="Times New Roman" w:cs="Times New Roman"/>
          <w:color w:val="111827"/>
          <w:sz w:val="24"/>
          <w:shd w:val="clear" w:color="auto" w:fill="F3F4F6"/>
        </w:rPr>
        <w:t>Л041-01107-72/00285991 от 20 мая 2022</w:t>
      </w:r>
      <w:r w:rsidR="00EB3D99" w:rsidRPr="00EB3D99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</w:p>
    <w:p w:rsidR="00D94B6E" w:rsidRPr="00D94B6E" w:rsidRDefault="00B00C8F" w:rsidP="00D94B6E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 4</w:t>
      </w:r>
      <w:r w:rsidR="00D94B6E" w:rsidRPr="00D94B6E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. Порядок и способ информирования участников Акции об условиях проведения Акции и ее сроках.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4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.1. Участниками Акции являются совершеннолетние физические лица, дееспособные, проживающие на т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ерритории Российской Федерации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4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.1.1. Применение Условий Акции к недееспособным пациентам:</w:t>
      </w:r>
    </w:p>
    <w:p w:rsidR="00D94B6E" w:rsidRPr="00D94B6E" w:rsidRDefault="00D94B6E" w:rsidP="00D94B6E">
      <w:pPr>
        <w:numPr>
          <w:ilvl w:val="0"/>
          <w:numId w:val="1"/>
        </w:numPr>
        <w:spacing w:after="105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Участниками Акции также являются совершеннолетние физические лица, дееспособные, проживающие на территории Российской Федерации, действующие в интересах совершеннолетних недееспособных пациентов (опекуны или иные законные представители) и принявшие участие в Акции (далее – «Участники Акции») К недееспособным пациентам относятся лица, ограниченные в дееспособности или признанные недееспособными в установленном законом порядке. При заключении договора на оказание платных медицинских услуг законные представители недееспособных пациентов обязаны подтвердить свои полномочия действовать от имени недееспособных пациентов в установленном законом порядке (подтвердить установление опеки и т.п.).</w:t>
      </w:r>
    </w:p>
    <w:p w:rsidR="00D94B6E" w:rsidRPr="00D94B6E" w:rsidRDefault="00D94B6E" w:rsidP="00D94B6E">
      <w:pPr>
        <w:numPr>
          <w:ilvl w:val="0"/>
          <w:numId w:val="1"/>
        </w:numPr>
        <w:spacing w:after="105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В отношении лиц, признанных в установленном законом порядке недееспособными, если такие лица по своему состоянию не способны дать согласие на медицинское вмешательство, информированное добровольное согласие на медицинское вмешательство дает законный представитель недееспособного лица.</w:t>
      </w:r>
    </w:p>
    <w:p w:rsidR="00D94B6E" w:rsidRPr="00D94B6E" w:rsidRDefault="00D94B6E" w:rsidP="00D94B6E">
      <w:pPr>
        <w:numPr>
          <w:ilvl w:val="0"/>
          <w:numId w:val="1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lastRenderedPageBreak/>
        <w:t xml:space="preserve">По окончании выполнения </w:t>
      </w:r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медицинских услуг </w:t>
      </w:r>
      <w:r w:rsidR="009811CF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заключение или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результаты недееспособных лиц выдаются их законным представителям, выступающим заказчиками при заключении договора.</w:t>
      </w:r>
    </w:p>
    <w:p w:rsidR="00435096" w:rsidRDefault="00D94B6E" w:rsidP="0043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4.</w:t>
      </w:r>
      <w:proofErr w:type="gramStart"/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2.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Участники</w:t>
      </w:r>
      <w:proofErr w:type="gramEnd"/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Акции информируются об условиях и сроках ее проведения через следующие источники:</w:t>
      </w:r>
    </w:p>
    <w:p w:rsidR="00435096" w:rsidRPr="00435096" w:rsidRDefault="00D94B6E" w:rsidP="00EB3D99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условия Акции размещены на интернет-сайте </w:t>
      </w:r>
      <w:r w:rsidR="00EB3D99" w:rsidRPr="00EB3D99">
        <w:t>https://helix.expert/tobolsk</w:t>
      </w: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;</w:t>
      </w:r>
    </w:p>
    <w:p w:rsidR="00B00C8F" w:rsidRPr="00435096" w:rsidRDefault="00D94B6E" w:rsidP="0043509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условия Акции можно получить у администраторов медицинских центров, а </w:t>
      </w:r>
      <w:r w:rsidR="005319CD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также по телефону горячей линии </w:t>
      </w:r>
      <w:r w:rsidRPr="00435096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>+</w:t>
      </w:r>
      <w:r w:rsidR="005319CD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>7</w:t>
      </w:r>
      <w:r w:rsidR="00B62E28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 xml:space="preserve"> </w:t>
      </w:r>
      <w:r w:rsidR="005319CD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>3452</w:t>
      </w:r>
      <w:r w:rsidR="00DD130D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 xml:space="preserve"> 51-</w:t>
      </w:r>
      <w:r w:rsidR="000A2032" w:rsidRPr="000A2032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 xml:space="preserve">51-44 </w:t>
      </w: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для звонков с территории Российской Федерации.</w:t>
      </w:r>
    </w:p>
    <w:p w:rsidR="00B00C8F" w:rsidRPr="00727620" w:rsidRDefault="00B00C8F" w:rsidP="00B00C8F">
      <w:pPr>
        <w:spacing w:after="0" w:line="330" w:lineRule="atLeast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</w:p>
    <w:p w:rsidR="00435096" w:rsidRDefault="00B00C8F" w:rsidP="00435096">
      <w:pPr>
        <w:spacing w:after="0" w:line="330" w:lineRule="atLeast"/>
        <w:ind w:left="360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  <w:t>5.Условия Акции:</w:t>
      </w:r>
    </w:p>
    <w:p w:rsidR="00780297" w:rsidRPr="00780297" w:rsidRDefault="00435096" w:rsidP="00780297">
      <w:pPr>
        <w:pStyle w:val="a5"/>
        <w:numPr>
          <w:ilvl w:val="0"/>
          <w:numId w:val="10"/>
        </w:numPr>
        <w:spacing w:after="0" w:line="240" w:lineRule="auto"/>
        <w:rPr>
          <w:rFonts w:eastAsia="Times New Roman"/>
          <w:lang w:eastAsia="ru-RU"/>
        </w:rPr>
      </w:pPr>
      <w:r w:rsidRPr="00780297">
        <w:rPr>
          <w:rFonts w:ascii="Din Next" w:hAnsi="Din Next"/>
          <w:color w:val="111827"/>
        </w:rPr>
        <w:t xml:space="preserve">Скидка </w:t>
      </w:r>
      <w:r w:rsidR="008D1EAB" w:rsidRPr="00780297">
        <w:rPr>
          <w:rFonts w:ascii="Din Next" w:hAnsi="Din Next"/>
          <w:color w:val="111827"/>
        </w:rPr>
        <w:t>1</w:t>
      </w:r>
      <w:r w:rsidR="000A2032" w:rsidRPr="00780297">
        <w:rPr>
          <w:rFonts w:ascii="Din Next" w:hAnsi="Din Next"/>
          <w:color w:val="111827"/>
        </w:rPr>
        <w:t>0</w:t>
      </w:r>
      <w:r w:rsidRPr="00780297">
        <w:rPr>
          <w:rFonts w:ascii="Din Next" w:hAnsi="Din Next"/>
          <w:color w:val="111827"/>
        </w:rPr>
        <w:t xml:space="preserve">% предоставляется на </w:t>
      </w:r>
      <w:r w:rsidR="00780297" w:rsidRPr="00780297">
        <w:rPr>
          <w:rFonts w:ascii="Din Next" w:hAnsi="Din Next"/>
          <w:color w:val="111827"/>
        </w:rPr>
        <w:t>лабораторную диагностику</w:t>
      </w:r>
      <w:r w:rsidRPr="00780297">
        <w:rPr>
          <w:rFonts w:ascii="Din Next" w:hAnsi="Din Next"/>
          <w:color w:val="111827"/>
        </w:rPr>
        <w:t xml:space="preserve"> </w:t>
      </w:r>
      <w:r w:rsidR="005E2FB9">
        <w:rPr>
          <w:rFonts w:ascii="Din Next" w:hAnsi="Din Next"/>
          <w:color w:val="111827"/>
        </w:rPr>
        <w:t xml:space="preserve">при предъявлении удостоверяющего документа </w:t>
      </w:r>
      <w:r w:rsidR="008D1EAB" w:rsidRPr="00780297">
        <w:rPr>
          <w:rFonts w:ascii="Din Next" w:hAnsi="Din Next"/>
          <w:color w:val="111827"/>
        </w:rPr>
        <w:t xml:space="preserve">льготной категории граждан: </w:t>
      </w:r>
      <w:r w:rsidR="00780297" w:rsidRPr="00780297">
        <w:rPr>
          <w:rFonts w:ascii="Din Next" w:hAnsi="Din Next"/>
          <w:color w:val="111827"/>
        </w:rPr>
        <w:br/>
      </w:r>
      <w:r w:rsidR="00780297" w:rsidRPr="00780297">
        <w:rPr>
          <w:rFonts w:eastAsia="Times New Roman"/>
          <w:lang w:eastAsia="ru-RU"/>
        </w:rPr>
        <w:t>• Ветераны ВОВ</w:t>
      </w:r>
      <w:r w:rsidR="00780297" w:rsidRPr="00780297">
        <w:rPr>
          <w:rFonts w:eastAsia="Times New Roman"/>
          <w:lang w:eastAsia="ru-RU"/>
        </w:rPr>
        <w:tab/>
      </w:r>
    </w:p>
    <w:p w:rsidR="00780297" w:rsidRPr="0047717A" w:rsidRDefault="00780297" w:rsidP="00780297">
      <w:pPr>
        <w:spacing w:after="0" w:line="240" w:lineRule="auto"/>
        <w:ind w:firstLine="708"/>
        <w:rPr>
          <w:rFonts w:eastAsia="Times New Roman"/>
          <w:lang w:eastAsia="ru-RU"/>
        </w:rPr>
      </w:pPr>
      <w:r w:rsidRPr="0047717A">
        <w:rPr>
          <w:rFonts w:eastAsia="Times New Roman"/>
          <w:lang w:eastAsia="ru-RU"/>
        </w:rPr>
        <w:t>• Герои СССР и Герои России</w:t>
      </w:r>
    </w:p>
    <w:p w:rsidR="00780297" w:rsidRPr="0047717A" w:rsidRDefault="00780297" w:rsidP="00780297">
      <w:pPr>
        <w:spacing w:after="0" w:line="240" w:lineRule="auto"/>
        <w:ind w:left="708"/>
        <w:rPr>
          <w:rFonts w:eastAsia="Times New Roman"/>
          <w:lang w:eastAsia="ru-RU"/>
        </w:rPr>
      </w:pPr>
      <w:r w:rsidRPr="0047717A">
        <w:rPr>
          <w:rFonts w:eastAsia="Times New Roman"/>
          <w:lang w:eastAsia="ru-RU"/>
        </w:rPr>
        <w:t>• Дети-инвалиды / инвалиды детства</w:t>
      </w:r>
      <w:r w:rsidRPr="0047717A">
        <w:rPr>
          <w:rFonts w:eastAsia="Times New Roman"/>
          <w:lang w:eastAsia="ru-RU"/>
        </w:rPr>
        <w:tab/>
      </w:r>
    </w:p>
    <w:p w:rsidR="00780297" w:rsidRPr="0047717A" w:rsidRDefault="00780297" w:rsidP="00780297">
      <w:pPr>
        <w:spacing w:after="0" w:line="240" w:lineRule="auto"/>
        <w:ind w:firstLine="708"/>
        <w:rPr>
          <w:rFonts w:eastAsia="Times New Roman"/>
          <w:lang w:eastAsia="ru-RU"/>
        </w:rPr>
      </w:pPr>
      <w:r w:rsidRPr="0047717A">
        <w:rPr>
          <w:rFonts w:eastAsia="Times New Roman"/>
          <w:lang w:eastAsia="ru-RU"/>
        </w:rPr>
        <w:t>• Ликвидаторы последствий аварии на Чернобыльской АЭС</w:t>
      </w:r>
    </w:p>
    <w:p w:rsidR="00780297" w:rsidRPr="0047717A" w:rsidRDefault="00780297" w:rsidP="00780297">
      <w:pPr>
        <w:spacing w:after="0" w:line="240" w:lineRule="auto"/>
        <w:ind w:firstLine="708"/>
        <w:rPr>
          <w:rFonts w:eastAsia="Times New Roman"/>
          <w:lang w:eastAsia="ru-RU"/>
        </w:rPr>
      </w:pPr>
      <w:r w:rsidRPr="0047717A">
        <w:rPr>
          <w:rFonts w:eastAsia="Times New Roman"/>
          <w:lang w:eastAsia="ru-RU"/>
        </w:rPr>
        <w:t>• Инвалиды I и II группы</w:t>
      </w:r>
      <w:r w:rsidRPr="0047717A">
        <w:rPr>
          <w:rFonts w:eastAsia="Times New Roman"/>
          <w:lang w:eastAsia="ru-RU"/>
        </w:rPr>
        <w:tab/>
      </w:r>
    </w:p>
    <w:p w:rsidR="00780297" w:rsidRPr="0047717A" w:rsidRDefault="00780297" w:rsidP="00780297">
      <w:pPr>
        <w:spacing w:after="0" w:line="240" w:lineRule="auto"/>
        <w:ind w:firstLine="708"/>
        <w:rPr>
          <w:rFonts w:eastAsia="Times New Roman"/>
          <w:lang w:eastAsia="ru-RU"/>
        </w:rPr>
      </w:pPr>
      <w:r w:rsidRPr="0047717A">
        <w:rPr>
          <w:rFonts w:eastAsia="Times New Roman"/>
          <w:lang w:eastAsia="ru-RU"/>
        </w:rPr>
        <w:t>• Участники боевых действий</w:t>
      </w:r>
    </w:p>
    <w:p w:rsidR="00780297" w:rsidRDefault="00780297" w:rsidP="00780297">
      <w:pPr>
        <w:spacing w:after="0" w:line="330" w:lineRule="atLeast"/>
        <w:ind w:firstLine="708"/>
        <w:rPr>
          <w:rFonts w:ascii="Times New Roman" w:hAnsi="Times New Roman"/>
        </w:rPr>
      </w:pPr>
      <w:r w:rsidRPr="00780297">
        <w:rPr>
          <w:rFonts w:eastAsia="Times New Roman"/>
          <w:lang w:eastAsia="ru-RU"/>
        </w:rPr>
        <w:t>• Пенсионеры (в том числе военные пенсионеры, пенсионеры МВД</w:t>
      </w:r>
      <w:r>
        <w:rPr>
          <w:rFonts w:eastAsia="Times New Roman"/>
          <w:lang w:eastAsia="ru-RU"/>
        </w:rPr>
        <w:t xml:space="preserve">, а также: </w:t>
      </w:r>
      <w:r w:rsidR="00DD3B79">
        <w:rPr>
          <w:rFonts w:ascii="Times New Roman" w:hAnsi="Times New Roman"/>
        </w:rPr>
        <w:t>женщины</w:t>
      </w:r>
    </w:p>
    <w:p w:rsidR="00780297" w:rsidRDefault="00DD3B79" w:rsidP="00780297">
      <w:pPr>
        <w:spacing w:after="0" w:line="330" w:lineRule="atLeast"/>
        <w:ind w:firstLine="708"/>
        <w:rPr>
          <w:rFonts w:ascii="Din Next" w:hAnsi="Din Next"/>
          <w:color w:val="111827"/>
        </w:rPr>
      </w:pPr>
      <w:r>
        <w:rPr>
          <w:rFonts w:ascii="Times New Roman" w:hAnsi="Times New Roman"/>
        </w:rPr>
        <w:t>в возрасте от 55 лет или мужчины</w:t>
      </w:r>
      <w:r w:rsidR="00780297" w:rsidRPr="00780297">
        <w:rPr>
          <w:rFonts w:ascii="Times New Roman" w:hAnsi="Times New Roman"/>
        </w:rPr>
        <w:t xml:space="preserve"> – от 60 лет)</w:t>
      </w:r>
      <w:r w:rsidR="00780297">
        <w:rPr>
          <w:rFonts w:eastAsia="Times New Roman"/>
          <w:lang w:eastAsia="ru-RU"/>
        </w:rPr>
        <w:t>.</w:t>
      </w:r>
    </w:p>
    <w:p w:rsidR="00780297" w:rsidRPr="00780297" w:rsidRDefault="00435096" w:rsidP="00780297">
      <w:pPr>
        <w:pStyle w:val="a5"/>
        <w:numPr>
          <w:ilvl w:val="0"/>
          <w:numId w:val="10"/>
        </w:numPr>
        <w:spacing w:after="0" w:line="330" w:lineRule="atLeast"/>
        <w:rPr>
          <w:rFonts w:ascii="Din Next" w:hAnsi="Din Next"/>
          <w:color w:val="111827"/>
          <w:sz w:val="20"/>
        </w:rPr>
      </w:pPr>
      <w:r w:rsidRPr="00780297">
        <w:rPr>
          <w:rFonts w:ascii="Din Next" w:hAnsi="Din Next"/>
          <w:color w:val="111827"/>
        </w:rPr>
        <w:t xml:space="preserve">Не суммируется с другими скидками и акциями, </w:t>
      </w:r>
      <w:r w:rsidR="000A2032" w:rsidRPr="00780297">
        <w:rPr>
          <w:rFonts w:ascii="Din Next" w:hAnsi="Din Next"/>
          <w:color w:val="111827"/>
        </w:rPr>
        <w:t>программой лояльност</w:t>
      </w:r>
      <w:r w:rsidR="00DD3B79" w:rsidRPr="00780297">
        <w:rPr>
          <w:rFonts w:ascii="Din Next" w:hAnsi="Din Next"/>
          <w:color w:val="111827"/>
        </w:rPr>
        <w:t>и</w:t>
      </w:r>
      <w:r w:rsidR="000A2032" w:rsidRPr="00780297">
        <w:rPr>
          <w:rFonts w:ascii="Din Next" w:hAnsi="Din Next"/>
          <w:color w:val="111827"/>
        </w:rPr>
        <w:t xml:space="preserve"> </w:t>
      </w:r>
      <w:r w:rsidRPr="00780297">
        <w:rPr>
          <w:rFonts w:ascii="Din Next" w:hAnsi="Din Next"/>
          <w:color w:val="111827"/>
        </w:rPr>
        <w:t xml:space="preserve">не распространяется на услуги врачей. </w:t>
      </w:r>
    </w:p>
    <w:p w:rsidR="00435096" w:rsidRPr="00780297" w:rsidRDefault="00435096" w:rsidP="00780297">
      <w:pPr>
        <w:pStyle w:val="a5"/>
        <w:numPr>
          <w:ilvl w:val="0"/>
          <w:numId w:val="10"/>
        </w:numPr>
        <w:spacing w:after="0" w:line="330" w:lineRule="atLeast"/>
        <w:rPr>
          <w:rFonts w:ascii="Din Next" w:hAnsi="Din Next"/>
          <w:color w:val="111827"/>
          <w:sz w:val="20"/>
        </w:rPr>
      </w:pPr>
      <w:r w:rsidRPr="00780297">
        <w:rPr>
          <w:rFonts w:ascii="Din Next" w:hAnsi="Din Next"/>
          <w:color w:val="111827"/>
        </w:rPr>
        <w:t xml:space="preserve">Взятие биоматериала оплачивается клиентом полностью. </w:t>
      </w:r>
    </w:p>
    <w:p w:rsidR="00346AA7" w:rsidRPr="00727620" w:rsidRDefault="00346AA7" w:rsidP="00346AA7">
      <w:pPr>
        <w:spacing w:after="0"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46AA7" w:rsidRPr="00727620" w:rsidRDefault="00346AA7" w:rsidP="00346AA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Акции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Срок проведения Акции: с «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="006B079E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по «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 включительно.</w:t>
      </w:r>
    </w:p>
    <w:p w:rsidR="00346AA7" w:rsidRDefault="006B079E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346AA7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Акция может быть завершена досрочно. </w:t>
      </w:r>
    </w:p>
    <w:p w:rsidR="000A2032" w:rsidRPr="00727620" w:rsidRDefault="000A2032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4052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может быть продлен автоматически.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B79" w:rsidRPr="00727620" w:rsidRDefault="00DD3B79" w:rsidP="00DD3B79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276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получения результатов</w:t>
      </w:r>
    </w:p>
    <w:p w:rsidR="00DD3B79" w:rsidRDefault="00DD3B79" w:rsidP="00DD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B79" w:rsidRPr="00D5017B" w:rsidRDefault="00DD3B79" w:rsidP="00DD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Получить результаты лабораторных исследований можно в медицинских центрах в срок, указанный в п. 5.10 настоящих Правил, или по телефону горячей линии: +7 (3452) 51-51-44 для звонков с территории Российской Федерации, предоставив фамилию, имя, отчество, номер, указанное Участником Акции при заказе лабораторных исследований.     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 Получить результаты лабораторных исследований можно также по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электронной почты, указанному Участником Акции при заказе лабораторных исследований. В этом случае, результаты лабораторных исследований отправляются Участнику Акции автоматической системой доставки результатов без участия человека, согласно заявленным срокам. Результаты лабораторных исследований содержатся в сообщении в виде вложенного файла в формате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® PDF® и являются точной, неизменяемой электронной копией бумажного бланка с 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лабораторных исследований.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сообщения является сложным многоэтапным процессом, а электронная почта не может считаться транспортом сообщений со 100 % гарантией доставки. Исходя из практического опыта эксплуатации, Организатор Акции рекомендует Участнику Акции последовать приведенным ниже рекомендациям: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интернет-домены, которым принадлежат адреса Участника Акции, не должны входить в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«черные списки» (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black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серверов-участников вирусных, хакерских атак и регулярных несанкционированных массовых рассылок;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настройки систем подавления массовых рассылок, а также правила обработки сообщений электронной почты на почтовом сервере и/или клиенте Участника Акции должны разрешать принимать сообщения из интернет-домена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helix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02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почтовые ящики Участника Акции не должны быть переполнены, заблокированы или недоступны по иным причинам на стороне Участника 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7.2.3. в «личном кабинете» на сайте </w:t>
      </w:r>
      <w:hyperlink r:id="rId5" w:history="1">
        <w:r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helix</w:t>
        </w:r>
        <w:r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88027D" w:rsidRPr="00880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«Личный кабинет» – ресурс, доступ к которому осуществляется через публичные каналы передачи данных Интернет, который позволяет Участнику Акции осуществлять доступ к определяемому владельцем ресурса перечню функций (в числе прочего предполагающих возможность ознакомления Участника Акции с результатами исследования), направленных на оптимизацию порядка предоставления медицинских услуг Участнику Акции.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Организатор Акции не несет ответственности в случае отправки результатов лабораторных исследований по неправильному электронному адресу, указанному Участником Акции при заказе лабораторных исследований.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3B79" w:rsidRPr="00D5017B" w:rsidRDefault="00DD3B79" w:rsidP="00DD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50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Дополнительные условия</w:t>
      </w:r>
    </w:p>
    <w:p w:rsidR="00DD3B79" w:rsidRPr="00727620" w:rsidRDefault="00DD3B79" w:rsidP="00DD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9" w:rsidRPr="00346AA7" w:rsidRDefault="00DD3B79" w:rsidP="00DD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Любому Участнику Акции может быть отказано в участии в Акции, в том случае если данный Участник причинял беспокойство, а также оскорблял, угрожал и иным неподобающим образом вел себя в отношении сотрудников и контрагентов Организаторов Акции. </w:t>
      </w:r>
    </w:p>
    <w:p w:rsidR="00DD3B79" w:rsidRPr="00346AA7" w:rsidRDefault="00DD3B79" w:rsidP="00DD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Организаторы Акции оставляют за собой право не вступать в письменные переговоры либо иные контакты с Участниками Акции, кроме случаев, предусмотренных настоящими Правилами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B79" w:rsidRPr="00346AA7" w:rsidRDefault="00DD3B79" w:rsidP="00DD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Акции автоматически подразумевает ознакомление и полное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 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proofErr w:type="gramEnd"/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настоящими Правилами. </w:t>
      </w:r>
    </w:p>
    <w:p w:rsidR="00DD3B79" w:rsidRPr="00346AA7" w:rsidRDefault="00DD3B79" w:rsidP="00DD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 Акции</w:t>
      </w:r>
      <w:proofErr w:type="gramEnd"/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 может  быть  выплачен  денежный  эквивалент  стоимости  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услуг.</w:t>
      </w:r>
    </w:p>
    <w:p w:rsidR="00DD3B79" w:rsidRPr="00346AA7" w:rsidRDefault="00DD3B79" w:rsidP="00DD3B7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3B79" w:rsidRPr="00B00C8F" w:rsidRDefault="00DD3B79" w:rsidP="00DD3B79">
      <w:pPr>
        <w:spacing w:after="0" w:line="330" w:lineRule="atLeast"/>
        <w:rPr>
          <w:rFonts w:ascii="Din Next" w:eastAsia="Times New Roman" w:hAnsi="Din Next" w:cs="Times New Roman"/>
          <w:b/>
          <w:color w:val="111827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DD3B79" w:rsidRDefault="00DD3B79" w:rsidP="00DD3B79"/>
    <w:p w:rsidR="00E41BFA" w:rsidRDefault="00E41BFA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sectPr w:rsidR="006B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in N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125E"/>
    <w:multiLevelType w:val="hybridMultilevel"/>
    <w:tmpl w:val="A252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929BD"/>
    <w:multiLevelType w:val="hybridMultilevel"/>
    <w:tmpl w:val="EC3C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62488"/>
    <w:multiLevelType w:val="multilevel"/>
    <w:tmpl w:val="3E06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B97BF5"/>
    <w:multiLevelType w:val="hybridMultilevel"/>
    <w:tmpl w:val="1B68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390"/>
    <w:multiLevelType w:val="multilevel"/>
    <w:tmpl w:val="EE58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auto"/>
        <w:sz w:val="20"/>
      </w:rPr>
    </w:lvl>
  </w:abstractNum>
  <w:abstractNum w:abstractNumId="5" w15:restartNumberingAfterBreak="0">
    <w:nsid w:val="641E1C46"/>
    <w:multiLevelType w:val="multilevel"/>
    <w:tmpl w:val="9ABE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397655"/>
    <w:multiLevelType w:val="multilevel"/>
    <w:tmpl w:val="FC94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690A55"/>
    <w:multiLevelType w:val="hybridMultilevel"/>
    <w:tmpl w:val="012AE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E24132"/>
    <w:multiLevelType w:val="hybridMultilevel"/>
    <w:tmpl w:val="2002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0482"/>
    <w:multiLevelType w:val="multilevel"/>
    <w:tmpl w:val="EE58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auto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54"/>
    <w:rsid w:val="000A2032"/>
    <w:rsid w:val="000D4D9F"/>
    <w:rsid w:val="001039B5"/>
    <w:rsid w:val="00127254"/>
    <w:rsid w:val="0013077E"/>
    <w:rsid w:val="001447E6"/>
    <w:rsid w:val="0015390B"/>
    <w:rsid w:val="0033337C"/>
    <w:rsid w:val="00346AA7"/>
    <w:rsid w:val="003B500A"/>
    <w:rsid w:val="003C55E7"/>
    <w:rsid w:val="00435096"/>
    <w:rsid w:val="005319CD"/>
    <w:rsid w:val="005E2FB9"/>
    <w:rsid w:val="00627C13"/>
    <w:rsid w:val="006935D2"/>
    <w:rsid w:val="006B079E"/>
    <w:rsid w:val="00727620"/>
    <w:rsid w:val="00780297"/>
    <w:rsid w:val="007D05B2"/>
    <w:rsid w:val="007E6245"/>
    <w:rsid w:val="008569C2"/>
    <w:rsid w:val="0088027D"/>
    <w:rsid w:val="008D1EAB"/>
    <w:rsid w:val="009811CF"/>
    <w:rsid w:val="00B00C8F"/>
    <w:rsid w:val="00B62E28"/>
    <w:rsid w:val="00BD0FE4"/>
    <w:rsid w:val="00CA409A"/>
    <w:rsid w:val="00D343E2"/>
    <w:rsid w:val="00D94B6E"/>
    <w:rsid w:val="00DD130D"/>
    <w:rsid w:val="00DD3B79"/>
    <w:rsid w:val="00E226EE"/>
    <w:rsid w:val="00E318C4"/>
    <w:rsid w:val="00E41BFA"/>
    <w:rsid w:val="00EB3D99"/>
    <w:rsid w:val="00F4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B1E9"/>
  <w15:chartTrackingRefBased/>
  <w15:docId w15:val="{9238FDCE-B6DB-41BC-A67E-982FA275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4B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35D2"/>
    <w:pPr>
      <w:ind w:left="720"/>
      <w:contextualSpacing/>
    </w:pPr>
  </w:style>
  <w:style w:type="paragraph" w:customStyle="1" w:styleId="LO-normal">
    <w:name w:val="LO-normal"/>
    <w:rsid w:val="00D343E2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character" w:styleId="a6">
    <w:name w:val="Strong"/>
    <w:basedOn w:val="a0"/>
    <w:uiPriority w:val="22"/>
    <w:qFormat/>
    <w:rsid w:val="0015390B"/>
    <w:rPr>
      <w:b/>
      <w:bCs/>
    </w:rPr>
  </w:style>
  <w:style w:type="character" w:customStyle="1" w:styleId="fontstyle0">
    <w:name w:val="fontstyle0"/>
    <w:basedOn w:val="a0"/>
    <w:rsid w:val="0015390B"/>
  </w:style>
  <w:style w:type="table" w:customStyle="1" w:styleId="TableGrid">
    <w:name w:val="TableGrid"/>
    <w:rsid w:val="000D4D9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li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79829</dc:creator>
  <cp:keywords/>
  <dc:description/>
  <cp:lastModifiedBy>79829</cp:lastModifiedBy>
  <cp:revision>15</cp:revision>
  <dcterms:created xsi:type="dcterms:W3CDTF">2025-04-16T07:24:00Z</dcterms:created>
  <dcterms:modified xsi:type="dcterms:W3CDTF">2025-06-24T04:05:00Z</dcterms:modified>
</cp:coreProperties>
</file>